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97" w:rsidRPr="007A0797" w:rsidRDefault="007A0797" w:rsidP="007A0797">
      <w:pPr>
        <w:framePr w:w="2273" w:h="1248" w:hRule="exact" w:hSpace="181" w:vSpace="181" w:wrap="auto" w:vAnchor="page" w:hAnchor="page" w:x="1417" w:y="540"/>
        <w:spacing w:before="120" w:after="0" w:line="240" w:lineRule="auto"/>
        <w:rPr>
          <w:rFonts w:ascii="Arial Narrow" w:eastAsia="Times New Roman" w:hAnsi="Arial Narrow" w:cs="Tahoma"/>
        </w:rPr>
      </w:pPr>
      <w:r w:rsidRPr="007A0797">
        <w:rPr>
          <w:rFonts w:ascii="Arial Narrow" w:eastAsia="Times New Roman" w:hAnsi="Arial Narrow" w:cs="Tahoma"/>
        </w:rPr>
        <w:t>GIMNAZIJA ŠENTVID AKTIV SLOVENISTK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5F3F5C" w:rsidP="007A0797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  <w:r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Šolsko leto 202</w:t>
      </w:r>
      <w:r w:rsidR="00966E3D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4</w:t>
      </w:r>
      <w:r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/202</w:t>
      </w:r>
      <w:r w:rsidR="00966E3D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5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  <w:r w:rsidRPr="007A0797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 xml:space="preserve">MINIMALNI STANDARDI ZNANJA PRI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  <w:r w:rsidRPr="007A0797"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  <w:t>SLOVENŠČINI V 1. LETNIKU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sl-SI"/>
        </w:rPr>
      </w:pPr>
    </w:p>
    <w:p w:rsidR="007A0797" w:rsidRPr="007A0797" w:rsidRDefault="007A0797" w:rsidP="007A079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lang w:eastAsia="sl-SI"/>
        </w:rPr>
      </w:pPr>
      <w:r w:rsidRPr="007A0797">
        <w:rPr>
          <w:rFonts w:ascii="Arial Narrow" w:eastAsia="Times New Roman" w:hAnsi="Arial Narrow" w:cs="Arial"/>
          <w:b/>
          <w:bCs/>
          <w:sz w:val="40"/>
          <w:szCs w:val="40"/>
          <w:lang w:eastAsia="sl-SI"/>
        </w:rPr>
        <w:t>jezik</w:t>
      </w:r>
    </w:p>
    <w:p w:rsidR="007A0797" w:rsidRPr="007A0797" w:rsidRDefault="007A0797" w:rsidP="007A079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40"/>
          <w:szCs w:val="40"/>
          <w:lang w:eastAsia="sl-SI"/>
        </w:rPr>
      </w:pPr>
      <w:r w:rsidRPr="007A0797">
        <w:rPr>
          <w:rFonts w:ascii="Arial Narrow" w:eastAsia="Times New Roman" w:hAnsi="Arial Narrow" w:cs="Arial"/>
          <w:b/>
          <w:bCs/>
          <w:sz w:val="40"/>
          <w:szCs w:val="40"/>
          <w:lang w:eastAsia="sl-SI"/>
        </w:rPr>
        <w:t>književnost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7A0797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JEZIK</w:t>
      </w:r>
    </w:p>
    <w:p w:rsidR="007A0797" w:rsidRPr="00D84CE2" w:rsidRDefault="00D84CE2" w:rsidP="00D84CE2">
      <w:pPr>
        <w:pStyle w:val="Odstavekseznama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tematski</w:t>
      </w:r>
      <w:r w:rsidR="007A0797" w:rsidRPr="00D84CE2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 sklop: Jezik </w:t>
      </w:r>
      <w:r w:rsidR="007A0797" w:rsidRPr="00D84CE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426"/>
      </w:tblGrid>
      <w:tr w:rsidR="007A0797" w:rsidRPr="007A0797" w:rsidTr="002F36CD">
        <w:trPr>
          <w:cantSplit/>
          <w:trHeight w:val="290"/>
        </w:trPr>
        <w:tc>
          <w:tcPr>
            <w:tcW w:w="2764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2426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764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JEZIK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2426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spozna, kaj je jezik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jezikovni in nejezikovni način sporočanja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764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BESEDNI JEZIK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2426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zna uporabiti oba načina sporočanja;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členitev na besedni in nebesedni jezik;</w:t>
            </w:r>
          </w:p>
          <w:p w:rsidR="00A6241D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</w:t>
            </w:r>
            <w:r w:rsidR="00A6241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  </w:t>
            </w:r>
            <w:r w:rsidR="00A6241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jezik kot sistem (jezikovne ravnine)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pozna temeljna </w:t>
            </w:r>
            <w:r w:rsidR="001E438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merila </w:t>
            </w:r>
            <w:proofErr w:type="spellStart"/>
            <w:r w:rsidR="001E438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besedilnosti</w:t>
            </w:r>
            <w:proofErr w:type="spellEnd"/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rabo velike in male začetnice ter ločil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7A0797" w:rsidRPr="007A0797" w:rsidTr="002F36CD">
        <w:trPr>
          <w:cantSplit/>
          <w:trHeight w:val="290"/>
        </w:trPr>
        <w:tc>
          <w:tcPr>
            <w:tcW w:w="2764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SOCIALNE ZVRSTI SLOVENSKEGA JEZIKA</w:t>
            </w:r>
          </w:p>
        </w:tc>
        <w:tc>
          <w:tcPr>
            <w:tcW w:w="12426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 pozna socialne zvrsti SKJ in jih zna uporabiti pri sporočanju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ve o vlogi in položaju slovenskega jezika v Republiki Sloveniji, v našem zamejstvu, med zdomci in izseljenci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7A0797" w:rsidRPr="007A0797" w:rsidTr="002F36CD">
        <w:trPr>
          <w:cantSplit/>
          <w:trHeight w:val="290"/>
        </w:trPr>
        <w:tc>
          <w:tcPr>
            <w:tcW w:w="2764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1E438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ZGODOVINA</w:t>
            </w: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SLOVENSKEGA JEZIKA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2426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ve za izvor slovenskega jezika in njegovo zvezo z drugimi za slovenski jezik pomembnimi jeziki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najpomembnejše spomenike izpred knjižnega obdobja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mejnike v razvoju slovenskega jezika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Tahoma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7A0797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2. </w:t>
      </w:r>
      <w:r w:rsidR="00213DAA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tematski </w:t>
      </w:r>
      <w:r w:rsidRPr="007A0797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sklop: </w:t>
      </w:r>
      <w:r w:rsidR="002012DF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Besediloslovje </w:t>
      </w:r>
      <w:r w:rsidRPr="007A0797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285"/>
      </w:tblGrid>
      <w:tr w:rsidR="007A0797" w:rsidRPr="007A0797" w:rsidTr="002F36CD">
        <w:trPr>
          <w:cantSplit/>
          <w:trHeight w:val="290"/>
        </w:trPr>
        <w:tc>
          <w:tcPr>
            <w:tcW w:w="2905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2285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905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SPORAZUMEVANJE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285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zna presoditi položaj za uporabo/tvorbo sporočila glede na kontekst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pozna vrste </w:t>
            </w:r>
            <w:r w:rsidR="002012D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sporazumevanja</w:t>
            </w:r>
          </w:p>
          <w:p w:rsidR="005376D1" w:rsidRPr="007A0797" w:rsidRDefault="005376D1" w:rsidP="005376D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- 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dejavnike spor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azumevanja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in jih zna določiti na primerih besedil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7A0797" w:rsidRPr="007A0797" w:rsidTr="002F36CD">
        <w:trPr>
          <w:cantSplit/>
          <w:trHeight w:val="290"/>
        </w:trPr>
        <w:tc>
          <w:tcPr>
            <w:tcW w:w="2905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NAČELA USPEŠEGA SPOROČANJA</w:t>
            </w: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</w:p>
        </w:tc>
        <w:tc>
          <w:tcPr>
            <w:tcW w:w="12285" w:type="dxa"/>
          </w:tcPr>
          <w:p w:rsid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načela uspešnega sporočanja in s tem pomembnost ustreznosti sporočanja</w:t>
            </w:r>
          </w:p>
          <w:p w:rsidR="005376D1" w:rsidRDefault="005376D1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pravila javnega govornega nastopanja</w:t>
            </w:r>
          </w:p>
          <w:p w:rsidR="005376D1" w:rsidRPr="007A0797" w:rsidRDefault="005376D1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pozna načela dvosmernega sporazumevanja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905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FF2A7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TVORJE</w:t>
            </w: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NJE BESEDIL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2285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pozna </w:t>
            </w:r>
            <w:r w:rsidR="00FF2A7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faze tvorjenja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besedil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7A0797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3. tematski sklop: Besedilo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7A079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3068"/>
      </w:tblGrid>
      <w:tr w:rsidR="007A0797" w:rsidRPr="007A0797" w:rsidTr="00FF2A72">
        <w:trPr>
          <w:cantSplit/>
          <w:trHeight w:val="290"/>
        </w:trPr>
        <w:tc>
          <w:tcPr>
            <w:tcW w:w="2122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306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FF2A72">
        <w:trPr>
          <w:cantSplit/>
          <w:trHeight w:val="290"/>
        </w:trPr>
        <w:tc>
          <w:tcPr>
            <w:tcW w:w="212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BESEDILO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3068" w:type="dxa"/>
          </w:tcPr>
          <w:p w:rsid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zna tvoriti ustna in pisna besedila</w:t>
            </w:r>
          </w:p>
          <w:p w:rsidR="00FF2A72" w:rsidRPr="007A0797" w:rsidRDefault="00FF2A72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prepoznava raznovrstnost besedil glede na različna merila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7A0797" w:rsidRPr="007A0797" w:rsidTr="00FF2A72">
        <w:trPr>
          <w:cantSplit/>
          <w:trHeight w:val="290"/>
        </w:trPr>
        <w:tc>
          <w:tcPr>
            <w:tcW w:w="212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VRSTE BESEDIL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</w:p>
        </w:tc>
        <w:tc>
          <w:tcPr>
            <w:tcW w:w="13068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ve, katerim zakonitostim mora ustrezati besedilo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 pozna vrste besedil in njihove značilnosti: umetnostna in neumetnostna besedila; govorjena in zapisana besedila;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enogovorna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in dvogovorna besedila; subjektivna in objektivna besedila; zasebna in javna; uradna in neuradna besedila;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praktičnosporazumevalna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besedila</w:t>
            </w:r>
            <w:r w:rsidR="00D63C2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 publicistična, strokovna in uradovalna besedila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.</w:t>
            </w: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7A0797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4. tematski sklop: Besedilne vrste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001"/>
      </w:tblGrid>
      <w:tr w:rsidR="007A0797" w:rsidRPr="007A0797" w:rsidTr="002F36CD">
        <w:trPr>
          <w:cantSplit/>
          <w:trHeight w:val="290"/>
        </w:trPr>
        <w:tc>
          <w:tcPr>
            <w:tcW w:w="3189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2001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3189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  <w:t xml:space="preserve"> PREDSTAVITEV OSEBE</w:t>
            </w: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</w:p>
        </w:tc>
        <w:tc>
          <w:tcPr>
            <w:tcW w:w="12001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pozna značilnosti besedilne vrste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zna sam tvoriti besedilno vrsto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7A0797" w:rsidRPr="007A0797" w:rsidTr="002F36CD">
        <w:trPr>
          <w:cantSplit/>
          <w:trHeight w:val="290"/>
        </w:trPr>
        <w:tc>
          <w:tcPr>
            <w:tcW w:w="3189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  <w:t xml:space="preserve"> PREDSTAVITEV KRAJA</w:t>
            </w: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</w:p>
        </w:tc>
        <w:tc>
          <w:tcPr>
            <w:tcW w:w="12001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pozna značilnosti besedilne vrste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zna sam tvoriti besedilno vrsto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7A0797" w:rsidRPr="007A0797" w:rsidTr="002F36CD">
        <w:trPr>
          <w:cantSplit/>
          <w:trHeight w:val="290"/>
        </w:trPr>
        <w:tc>
          <w:tcPr>
            <w:tcW w:w="3189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  <w:t xml:space="preserve"> PREDSTAVITEV </w:t>
            </w:r>
            <w:r w:rsidR="00D63C20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  <w:t>POTI</w:t>
            </w: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</w:p>
        </w:tc>
        <w:tc>
          <w:tcPr>
            <w:tcW w:w="12001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pozna značilnosti besedilne vrste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zna sam tvoriti besedilno vrsto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7A0797" w:rsidRPr="007A0797" w:rsidTr="002F36CD">
        <w:trPr>
          <w:cantSplit/>
          <w:trHeight w:val="290"/>
        </w:trPr>
        <w:tc>
          <w:tcPr>
            <w:tcW w:w="3189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  <w:t>VABILO, OPRAVIČILO, ZAHVALA</w:t>
            </w: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</w:p>
        </w:tc>
        <w:tc>
          <w:tcPr>
            <w:tcW w:w="12001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pozna značilnosti besedilne vrste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- zna sam tvoriti besedilno vrsto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213DAA" w:rsidRDefault="00213DAA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:rsidR="007A0797" w:rsidRDefault="00D63C20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sl-SI"/>
        </w:rPr>
        <w:lastRenderedPageBreak/>
        <w:t>5. tematski sklop: Glasoslovje</w:t>
      </w:r>
    </w:p>
    <w:p w:rsidR="00787CEF" w:rsidRDefault="00787CEF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12582"/>
      </w:tblGrid>
      <w:tr w:rsidR="00787CEF" w:rsidTr="00787CEF">
        <w:tc>
          <w:tcPr>
            <w:tcW w:w="3114" w:type="dxa"/>
          </w:tcPr>
          <w:p w:rsidR="00787CEF" w:rsidRDefault="00787CEF" w:rsidP="007A0797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 xml:space="preserve">         Vsebina</w:t>
            </w:r>
          </w:p>
        </w:tc>
        <w:tc>
          <w:tcPr>
            <w:tcW w:w="12582" w:type="dxa"/>
          </w:tcPr>
          <w:p w:rsidR="00787CEF" w:rsidRDefault="00787CEF" w:rsidP="007A0797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 xml:space="preserve">                                                                         Minimalni standardi</w:t>
            </w:r>
          </w:p>
        </w:tc>
      </w:tr>
      <w:tr w:rsidR="00787CEF" w:rsidTr="00787CEF">
        <w:tc>
          <w:tcPr>
            <w:tcW w:w="3114" w:type="dxa"/>
          </w:tcPr>
          <w:p w:rsidR="00787CEF" w:rsidRDefault="00787CEF" w:rsidP="007A0797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GLASOSLOVJE</w:t>
            </w:r>
          </w:p>
        </w:tc>
        <w:tc>
          <w:tcPr>
            <w:tcW w:w="12582" w:type="dxa"/>
          </w:tcPr>
          <w:p w:rsidR="00787CEF" w:rsidRDefault="004D2C52" w:rsidP="004D2C52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4D2C5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temeljne pojme glasoslovja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(fonem, govorila, delitev fonemov)</w:t>
            </w:r>
          </w:p>
          <w:p w:rsidR="004D2C52" w:rsidRDefault="004D2C52" w:rsidP="004D2C52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naglasna znamenja in osnovna pravila za naglaševanje besed</w:t>
            </w:r>
          </w:p>
          <w:p w:rsidR="004D2C52" w:rsidRPr="004D2C52" w:rsidRDefault="004D2C52" w:rsidP="004D2C52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posebnosti v izgovoru in zapisu fonemov</w:t>
            </w:r>
          </w:p>
        </w:tc>
      </w:tr>
    </w:tbl>
    <w:p w:rsidR="00787CEF" w:rsidRDefault="00787CEF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:rsidR="00441861" w:rsidRDefault="00441861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sl-SI"/>
        </w:rPr>
        <w:t>6. tematski sklop: Pravopis</w:t>
      </w:r>
    </w:p>
    <w:p w:rsidR="00441861" w:rsidRDefault="00441861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12582"/>
      </w:tblGrid>
      <w:tr w:rsidR="00441861" w:rsidTr="00441861">
        <w:tc>
          <w:tcPr>
            <w:tcW w:w="3114" w:type="dxa"/>
          </w:tcPr>
          <w:p w:rsidR="00441861" w:rsidRDefault="00441861" w:rsidP="007A0797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 xml:space="preserve">        Vsebina</w:t>
            </w:r>
          </w:p>
        </w:tc>
        <w:tc>
          <w:tcPr>
            <w:tcW w:w="12582" w:type="dxa"/>
          </w:tcPr>
          <w:p w:rsidR="00441861" w:rsidRDefault="00441861" w:rsidP="007A0797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 xml:space="preserve">                                                                       Minimalni standardi</w:t>
            </w:r>
          </w:p>
        </w:tc>
      </w:tr>
      <w:tr w:rsidR="00441861" w:rsidTr="00441861">
        <w:tc>
          <w:tcPr>
            <w:tcW w:w="3114" w:type="dxa"/>
          </w:tcPr>
          <w:p w:rsidR="00441861" w:rsidRDefault="00441861" w:rsidP="007A0797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PRAVOPIS</w:t>
            </w:r>
          </w:p>
        </w:tc>
        <w:tc>
          <w:tcPr>
            <w:tcW w:w="12582" w:type="dxa"/>
          </w:tcPr>
          <w:p w:rsidR="00441861" w:rsidRPr="00441861" w:rsidRDefault="00441861" w:rsidP="00441861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 uporabljati priročnik v pravopisnih dilemah</w:t>
            </w:r>
          </w:p>
          <w:p w:rsidR="00441861" w:rsidRPr="001522DA" w:rsidRDefault="00441861" w:rsidP="00441861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1522D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pravopisna poglavja in njihova temeljna pravila</w:t>
            </w:r>
            <w:r w:rsidR="001522D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(ločila, pisanje skupaj in narazen, zapisovanje glasov, prevzetih besed, deljenje besed)</w:t>
            </w:r>
          </w:p>
        </w:tc>
      </w:tr>
      <w:tr w:rsidR="001522DA" w:rsidTr="00441861">
        <w:tc>
          <w:tcPr>
            <w:tcW w:w="3114" w:type="dxa"/>
          </w:tcPr>
          <w:p w:rsidR="001522DA" w:rsidRDefault="001522DA" w:rsidP="007A0797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PISANJE Z VELIKO IN MALO ZAČETNICO</w:t>
            </w:r>
          </w:p>
        </w:tc>
        <w:tc>
          <w:tcPr>
            <w:tcW w:w="12582" w:type="dxa"/>
          </w:tcPr>
          <w:p w:rsidR="001522DA" w:rsidRDefault="001522DA" w:rsidP="00441861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pravila zapisovanja besed z veliko začetnico</w:t>
            </w:r>
          </w:p>
          <w:p w:rsidR="001522DA" w:rsidRDefault="001522DA" w:rsidP="00441861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 pravila zapisovanja besed z malo začetnico</w:t>
            </w:r>
          </w:p>
        </w:tc>
      </w:tr>
    </w:tbl>
    <w:p w:rsidR="00441861" w:rsidRPr="00D63C20" w:rsidRDefault="00441861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414D06" w:rsidRDefault="00414D06" w:rsidP="007A0797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Default="007A0797" w:rsidP="00F93A18">
      <w:pPr>
        <w:keepNext/>
        <w:autoSpaceDE w:val="0"/>
        <w:autoSpaceDN w:val="0"/>
        <w:spacing w:after="0" w:line="240" w:lineRule="auto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F93A18" w:rsidRDefault="00F93A18" w:rsidP="00F93A18">
      <w:pPr>
        <w:keepNext/>
        <w:autoSpaceDE w:val="0"/>
        <w:autoSpaceDN w:val="0"/>
        <w:spacing w:after="0" w:line="240" w:lineRule="auto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F93A18" w:rsidRPr="007A0797" w:rsidRDefault="00F93A18" w:rsidP="00F93A18">
      <w:pPr>
        <w:keepNext/>
        <w:autoSpaceDE w:val="0"/>
        <w:autoSpaceDN w:val="0"/>
        <w:spacing w:after="0" w:line="240" w:lineRule="auto"/>
        <w:outlineLvl w:val="5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414D06" w:rsidRPr="00414D06" w:rsidRDefault="00414D06" w:rsidP="00414D06">
      <w:pPr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414D06" w:rsidRDefault="00414D06" w:rsidP="00414D06">
      <w:pPr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F93A18" w:rsidRPr="00F93A18" w:rsidRDefault="00F93A18" w:rsidP="00F93A18">
      <w:pPr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                                                                                                                       </w:t>
      </w:r>
      <w:r w:rsidRPr="00F93A18">
        <w:rPr>
          <w:rFonts w:ascii="Arial Narrow" w:eastAsia="Times New Roman" w:hAnsi="Arial Narrow" w:cs="Arial"/>
          <w:b/>
          <w:sz w:val="24"/>
          <w:szCs w:val="24"/>
          <w:lang w:eastAsia="sl-SI"/>
        </w:rPr>
        <w:t>KNJIŽEVNOST</w:t>
      </w:r>
    </w:p>
    <w:p w:rsidR="00F93A18" w:rsidRPr="00F93A18" w:rsidRDefault="00F93A18" w:rsidP="00F93A18">
      <w:pPr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7A0797" w:rsidRPr="00414D06" w:rsidRDefault="007A0797" w:rsidP="00F93A18">
      <w:pPr>
        <w:pStyle w:val="Odstavekseznama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414D06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Literarna teorija. Uvod v obravnavo književnosti</w:t>
      </w:r>
      <w:r w:rsidRPr="00414D06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606"/>
      </w:tblGrid>
      <w:tr w:rsidR="007A0797" w:rsidRPr="007A0797" w:rsidTr="002F36CD">
        <w:trPr>
          <w:cantSplit/>
          <w:trHeight w:val="290"/>
        </w:trPr>
        <w:tc>
          <w:tcPr>
            <w:tcW w:w="2764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Vsebina </w:t>
            </w:r>
          </w:p>
        </w:tc>
        <w:tc>
          <w:tcPr>
            <w:tcW w:w="12606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764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UVOD V OBRAVNAVO KNJIŽEVNOSTI, LITERARNA TEORIJA </w:t>
            </w:r>
          </w:p>
        </w:tc>
        <w:tc>
          <w:tcPr>
            <w:tcW w:w="12606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razumejo, kaj je besedna umetnost, ločijo umetnostno in neumetnostno besedilo.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Razumejo, kdo je ustvarjalec, bralec. 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Znajo našteti in pojasniti, kaj so literarne vrste in zvrsti. 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Znajo pojasniti pojme: jezik, slog, literarna veda, literarna teorija.</w:t>
            </w: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1522DA" w:rsidRDefault="007A0797" w:rsidP="00F93A18">
      <w:pPr>
        <w:pStyle w:val="Odstavekseznama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1522DA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Antična književnost</w:t>
      </w:r>
      <w:r w:rsidRPr="001522DA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638"/>
      </w:tblGrid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263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Antika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Homer: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Iliada ali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Odiseja,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Sofoklej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: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Antigona ali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Kralj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Ojdip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(DB)</w:t>
            </w:r>
          </w:p>
          <w:p w:rsidR="00414D06" w:rsidRPr="007A0797" w:rsidRDefault="00414D06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Plavt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 Dvojčka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Katul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 Blagoslov ljubezni,</w:t>
            </w:r>
          </w:p>
          <w:p w:rsidR="001522DA" w:rsidRPr="007A0797" w:rsidRDefault="001522DA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Sapfo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 Svatovska pesem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414D06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1263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Dijaki znajo pojasniti, kaj je značilno za obdobje antične književnosti – časovna umestitev, lit. zvrsti.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Ločujejo grško in rimsko književnost.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Poznajo mit o Trojanski vojni, znajo povzeti vsebino Iliade, opisati glavne junake, poznajo značilnosti antičnega epa. Vedo, kaj je homersko vprašanje.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Dijaki znajo opisati, kaj je značilno za antično gledališče, poznajo mit o Tebanski hiši. Razumejo pojme: tragedija, tragično, </w:t>
            </w:r>
            <w:r w:rsidR="00414D06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komedija, komika,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zgradba drame, enotnost dejanja, vloga zbora, katarza.</w:t>
            </w:r>
          </w:p>
          <w:p w:rsid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Poznajo vsebino dela, oznako oseb.</w:t>
            </w:r>
          </w:p>
          <w:p w:rsidR="00414D06" w:rsidRPr="007A0797" w:rsidRDefault="00414D06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Dijaki znajo pojasniti značilnosti </w:t>
            </w:r>
            <w:r w:rsidR="001522DA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antične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lirike. </w:t>
            </w:r>
          </w:p>
        </w:tc>
      </w:tr>
    </w:tbl>
    <w:p w:rsid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7A079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414D06" w:rsidRDefault="00414D06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414D06" w:rsidRDefault="00414D06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F93A18" w:rsidRDefault="007A0797" w:rsidP="00F93A18">
      <w:pPr>
        <w:pStyle w:val="Odstavekseznama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F93A18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Biblija. Orientalske književnosti starega in srednjega veka</w:t>
      </w:r>
      <w:r w:rsidRPr="00F93A18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F93A18" w:rsidRPr="00F93A18" w:rsidRDefault="00F93A18" w:rsidP="00F93A18">
      <w:pPr>
        <w:pStyle w:val="Odstavekseznama"/>
        <w:autoSpaceDE w:val="0"/>
        <w:autoSpaceDN w:val="0"/>
        <w:spacing w:after="0" w:line="240" w:lineRule="auto"/>
        <w:ind w:left="1440"/>
        <w:rPr>
          <w:rFonts w:ascii="Arial Narrow" w:eastAsia="Times New Roman" w:hAnsi="Arial Narrow" w:cs="Arial"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638"/>
      </w:tblGrid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263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Biblija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 Prilika o izgubljenem sinu, Iz globočine, Visoka pesem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Zgodbe Svetega pisma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(DB)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Tisoč in ena noč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(Zgodba o grbcu)</w:t>
            </w:r>
          </w:p>
        </w:tc>
        <w:tc>
          <w:tcPr>
            <w:tcW w:w="1263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poznajo kulturni in literarni pomen Biblije.</w:t>
            </w: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Preberejo Zgodbe Sv. pisma za DB in delo znajo obnoviti.</w:t>
            </w: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Poznajo vsebino dela in literarne pojme: prilika.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Prepoznajo tematiko Visoke pesmi, znajo pojasniti lit. pojme: primera, paralelizem.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znajo določiti časovno-prostorsko umestitev</w:t>
            </w: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znajo obnoviti zgodbo, pojasniti oblikovne značilnosti.</w:t>
            </w: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Default="00F93A18" w:rsidP="00F93A18">
      <w:pPr>
        <w:pStyle w:val="Odstavekseznama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F93A18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Srednji vek</w:t>
      </w:r>
    </w:p>
    <w:p w:rsidR="00D84CE2" w:rsidRDefault="00D84CE2" w:rsidP="00D84CE2">
      <w:pPr>
        <w:pStyle w:val="Odstavekseznama"/>
        <w:autoSpaceDE w:val="0"/>
        <w:autoSpaceDN w:val="0"/>
        <w:spacing w:after="0" w:line="240" w:lineRule="auto"/>
        <w:ind w:left="144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3149"/>
      </w:tblGrid>
      <w:tr w:rsidR="00F93A18" w:rsidTr="00F93A18">
        <w:tc>
          <w:tcPr>
            <w:tcW w:w="2547" w:type="dxa"/>
          </w:tcPr>
          <w:p w:rsidR="00F93A18" w:rsidRDefault="00F93A18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          </w:t>
            </w:r>
            <w:r w:rsidR="00381DC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3149" w:type="dxa"/>
          </w:tcPr>
          <w:p w:rsidR="00F93A18" w:rsidRDefault="00381DC3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                                                                                              Minimalni standardi    </w:t>
            </w:r>
          </w:p>
        </w:tc>
      </w:tr>
      <w:tr w:rsidR="00F93A18" w:rsidTr="00F93A18">
        <w:tc>
          <w:tcPr>
            <w:tcW w:w="2547" w:type="dxa"/>
          </w:tcPr>
          <w:p w:rsidR="00F93A18" w:rsidRDefault="00381DC3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  <w:r w:rsidRPr="00381DC3"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>Srednjeveška književnost v Evropi in na Slovenskem</w:t>
            </w:r>
          </w:p>
          <w:p w:rsidR="00381DC3" w:rsidRDefault="00381DC3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</w:p>
          <w:p w:rsidR="00381DC3" w:rsidRDefault="00381DC3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</w:p>
          <w:p w:rsidR="00381DC3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>Dante, Božanska komedija</w:t>
            </w:r>
          </w:p>
          <w:p w:rsidR="00D84CE2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</w:p>
          <w:p w:rsidR="00D84CE2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</w:p>
          <w:p w:rsidR="00D84CE2" w:rsidRPr="00381DC3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>Brižinski spomeniki</w:t>
            </w:r>
          </w:p>
        </w:tc>
        <w:tc>
          <w:tcPr>
            <w:tcW w:w="13149" w:type="dxa"/>
          </w:tcPr>
          <w:p w:rsidR="00F93A18" w:rsidRDefault="00381DC3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>Dijaki poznajo značilnosti obdobja, časovno in prostorsko umestitev, delitev in vrsto posvetnih in cerkvenih besedil ter njihov pomen za razvoj književnosti.</w:t>
            </w:r>
          </w:p>
          <w:p w:rsidR="00381DC3" w:rsidRPr="00381DC3" w:rsidRDefault="00381DC3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381DC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_____________________________________________________________________________________________________________________</w:t>
            </w:r>
          </w:p>
          <w:p w:rsidR="00381DC3" w:rsidRPr="00381DC3" w:rsidRDefault="00381DC3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  <w:p w:rsidR="00381DC3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>Značilnosti versko-alegoričnega epa, zgradba, pomen</w:t>
            </w:r>
          </w:p>
          <w:p w:rsidR="00D84CE2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</w:pPr>
          </w:p>
          <w:p w:rsidR="00D84CE2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 xml:space="preserve">_____________________________________________________________________________________________________________________ </w:t>
            </w:r>
          </w:p>
          <w:p w:rsidR="00D84CE2" w:rsidRPr="00D84CE2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  <w:p w:rsidR="00381DC3" w:rsidRDefault="00D84CE2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D84CE2">
              <w:rPr>
                <w:rFonts w:ascii="Arial Narrow" w:eastAsia="Times New Roman" w:hAnsi="Arial Narrow" w:cs="Arial"/>
                <w:bCs/>
                <w:sz w:val="24"/>
                <w:szCs w:val="24"/>
                <w:lang w:eastAsia="sl-SI"/>
              </w:rPr>
              <w:t>Pridiga – motivni-tematska, jezikovno-slogovna analiza</w:t>
            </w:r>
          </w:p>
          <w:p w:rsidR="00381DC3" w:rsidRDefault="00381DC3" w:rsidP="00F93A18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F93A18" w:rsidRPr="00F93A18" w:rsidRDefault="00F93A18" w:rsidP="00F93A18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F93A18" w:rsidRDefault="00F93A18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F93A18" w:rsidRDefault="007A0797" w:rsidP="00F93A18">
      <w:pPr>
        <w:pStyle w:val="Odstavekseznama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F93A18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>Renesansa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7A079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638"/>
      </w:tblGrid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263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Renesansa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Petrarca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O, blažen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bodi, čas …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Boccacio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Dekameron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(Novela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o sokolu),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Shakespeare: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Hamlet (DB) ali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Romeo in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Julija </w:t>
            </w:r>
          </w:p>
        </w:tc>
        <w:tc>
          <w:tcPr>
            <w:tcW w:w="12638" w:type="dxa"/>
          </w:tcPr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znajo pojasniti, kaj je značilno za obdobje renesanse – časovna umestitev, kulturnozgodovinski oris.</w:t>
            </w: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Dijaki znajo pojasniti pojme: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petrarkizem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, sonet.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__________________________________________________________________________________________________________________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znajo pojasniti zgradbo zbirke. Pojasnjujejo pojem: novela.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poznajo značilnosti elizabetinskega gledališča, Shakespearove tragedije. Znajo razložiti zgradbo tragedije, določiti prostor, čas, dogajanje, označiti osebe. Deli preberejo za DB, zato poznajo natančno vsebino. Poznajo pojme: monolog in njegova vloga.</w:t>
            </w:r>
          </w:p>
          <w:p w:rsidR="007A0797" w:rsidRPr="007A0797" w:rsidRDefault="007A0797" w:rsidP="007A0797">
            <w:pPr>
              <w:tabs>
                <w:tab w:val="left" w:pos="1240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Cervantes: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Don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Kihot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12638" w:type="dxa"/>
          </w:tcPr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Poznajo pojme: roman, parodija, tragikomičnost.</w:t>
            </w: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ind w:firstLine="60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D84CE2" w:rsidRDefault="007A0797" w:rsidP="00D84CE2">
      <w:pPr>
        <w:pStyle w:val="Odstavekseznama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D84CE2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t xml:space="preserve"> Slovenska reformacija, protireformacija in barok.  Ljudsko slovstvo pri Slovencih.</w:t>
      </w:r>
      <w:r w:rsidRPr="00D84CE2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638"/>
      </w:tblGrid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263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Reformacija, protireformacija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Trubar: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En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regišter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...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ena kratka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postila.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12638" w:type="dxa"/>
          </w:tcPr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znajo pojasniti, kaj je značilno za obdobji reformacije in protireformacije – časovna umestitev, kulturnozgodovinski oris, nacionalni pomen. Poznajo protestantske pisce.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Dijaki znajo poiskati protestantske ideje v besedilu, prepoznajo Trubarjev jezik in slog. </w:t>
            </w:r>
          </w:p>
          <w:p w:rsidR="007A0797" w:rsidRPr="007A0797" w:rsidRDefault="007A0797" w:rsidP="007A0797">
            <w:pPr>
              <w:tabs>
                <w:tab w:val="left" w:pos="4420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Dalmatin: 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Biblija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(odlomek),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Svetokriški: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 xml:space="preserve">Na </w:t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noviga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lejta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dan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Ljudska pesem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Od lepe Vide</w:t>
            </w:r>
            <w:r w:rsidR="005845B4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/</w:t>
            </w: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</w:r>
            <w:bookmarkStart w:id="0" w:name="_GoBack"/>
            <w:bookmarkEnd w:id="0"/>
            <w:proofErr w:type="spellStart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Rošlin</w:t>
            </w:r>
            <w:proofErr w:type="spellEnd"/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br/>
              <w:t>in Verjanko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Peter Klepec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1263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poznajo kulturni in literarni pomen Biblije.</w:t>
            </w: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poznajo vsebino pridige in prepoznajo baročni slog. Pojasnjujejo pojme: pridiga, alegorično moraliziranje, retorične prvine.</w:t>
            </w: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Poznajo vrste in značilnosti ljudskega slovstva.</w:t>
            </w: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prepoznajo motive ljudske pesmi, vedo, kakšni so njeni vplivi na umetno književnost, prepoznajo baladne prvine.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Dijaki poznajo značilnosti ljudske pripovedke.</w:t>
            </w: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7A0797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p w:rsidR="007A0797" w:rsidRPr="00D84CE2" w:rsidRDefault="007A0797" w:rsidP="00D84CE2">
      <w:pPr>
        <w:pStyle w:val="Odstavekseznama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  <w:r w:rsidRPr="00D84CE2"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  <w:lastRenderedPageBreak/>
        <w:t xml:space="preserve"> Evropski klasicizem in razsvetljenstvo. Razsvetljenstvo pri Slovencih.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sl-SI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638"/>
      </w:tblGrid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keepNext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Vsebina</w:t>
            </w:r>
          </w:p>
        </w:tc>
        <w:tc>
          <w:tcPr>
            <w:tcW w:w="12638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Minimalni standardi</w:t>
            </w:r>
          </w:p>
        </w:tc>
      </w:tr>
      <w:tr w:rsidR="007A0797" w:rsidRPr="007A0797" w:rsidTr="002F36CD">
        <w:trPr>
          <w:cantSplit/>
          <w:trHeight w:val="290"/>
        </w:trPr>
        <w:tc>
          <w:tcPr>
            <w:tcW w:w="2552" w:type="dxa"/>
          </w:tcPr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Klasicizem, razsvetljenstvo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proofErr w:type="spellStart"/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Moliere</w:t>
            </w:r>
            <w:proofErr w:type="spellEnd"/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:</w:t>
            </w: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  <w:r w:rsidRPr="007A0797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Tartuffe 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Razsvetljenstvo na Slovenskem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Vodnik:</w:t>
            </w: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  <w:r w:rsidRPr="007A0797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 Zadovoljni Kranjec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Linhart:</w:t>
            </w: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br/>
            </w:r>
            <w:r w:rsidRPr="007A0797">
              <w:rPr>
                <w:rFonts w:ascii="Arial Narrow" w:eastAsia="Times New Roman" w:hAnsi="Arial Narrow" w:cs="Tahoma"/>
                <w:i/>
                <w:iCs/>
                <w:sz w:val="24"/>
                <w:szCs w:val="24"/>
                <w:lang w:eastAsia="sl-SI"/>
              </w:rPr>
              <w:t xml:space="preserve">Ta veseli dan ali Matiček se ženi </w:t>
            </w:r>
          </w:p>
        </w:tc>
        <w:tc>
          <w:tcPr>
            <w:tcW w:w="12638" w:type="dxa"/>
          </w:tcPr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Dijaki znajo pojasniti, kaj je značilno za obdobje evropskega klasicizma in razsvetljenstva – časovna umestitev, kulturnozgodovinski oris.</w:t>
            </w: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Dijaki poznajo vsebino in znajo pojasniti pojme: komedija, vrste komike.</w:t>
            </w:r>
          </w:p>
          <w:p w:rsidR="007A0797" w:rsidRPr="007A0797" w:rsidRDefault="007A0797" w:rsidP="007A07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Dijaki znajo pojasniti, kaj je značilno za obdobje razsvetljenstva na Slovenskem – časovna umestitev, kulturnozgodovinski oris.</w:t>
            </w: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 xml:space="preserve">Dijaki znajo pojasniti pojme: alpska poskočnica, </w:t>
            </w:r>
            <w:proofErr w:type="spellStart"/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sinekdoha</w:t>
            </w:r>
            <w:proofErr w:type="spellEnd"/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. Iz pesmi znajo razbrati razsvetljenske ideje.</w:t>
            </w: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</w:pPr>
          </w:p>
          <w:p w:rsidR="007A0797" w:rsidRPr="007A0797" w:rsidRDefault="007A0797" w:rsidP="007A0797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sl-SI"/>
              </w:rPr>
            </w:pPr>
            <w:r w:rsidRPr="007A0797">
              <w:rPr>
                <w:rFonts w:ascii="Arial Narrow" w:eastAsia="Times New Roman" w:hAnsi="Arial Narrow" w:cs="Tahoma"/>
                <w:sz w:val="24"/>
                <w:szCs w:val="24"/>
                <w:lang w:eastAsia="sl-SI"/>
              </w:rPr>
              <w:t>Dijaki poznajo vsebino in osebe. Razumejo, kaj je značilno za začetke slovenskega gledališče. Znajo navesti razsvetljensko miselnost, ki se kaže v besedilu. Iz komedije znajo razbrati satirične prvine. Znajo pojasniti pojme: satira, vrste komike.</w:t>
            </w:r>
          </w:p>
        </w:tc>
      </w:tr>
    </w:tbl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7A0797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Dokument je bil pregledan in potrjen na sestanku aktiva </w:t>
      </w:r>
      <w:r>
        <w:rPr>
          <w:rFonts w:ascii="Arial" w:eastAsia="Times New Roman" w:hAnsi="Arial" w:cs="Arial"/>
          <w:i/>
          <w:sz w:val="24"/>
          <w:szCs w:val="24"/>
          <w:lang w:eastAsia="sl-SI"/>
        </w:rPr>
        <w:t>2</w:t>
      </w:r>
      <w:r w:rsidR="00966E3D">
        <w:rPr>
          <w:rFonts w:ascii="Arial" w:eastAsia="Times New Roman" w:hAnsi="Arial" w:cs="Arial"/>
          <w:i/>
          <w:sz w:val="24"/>
          <w:szCs w:val="24"/>
          <w:lang w:eastAsia="sl-SI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sl-SI"/>
        </w:rPr>
        <w:t>. 8. 202</w:t>
      </w:r>
      <w:r w:rsidR="00966E3D">
        <w:rPr>
          <w:rFonts w:ascii="Arial" w:eastAsia="Times New Roman" w:hAnsi="Arial" w:cs="Arial"/>
          <w:i/>
          <w:sz w:val="24"/>
          <w:szCs w:val="24"/>
          <w:lang w:eastAsia="sl-SI"/>
        </w:rPr>
        <w:t>4</w:t>
      </w:r>
      <w:r w:rsidRPr="007A0797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. </w:t>
      </w:r>
    </w:p>
    <w:p w:rsidR="007A0797" w:rsidRPr="007A0797" w:rsidRDefault="007A0797" w:rsidP="007A079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944E7" w:rsidRDefault="001944E7"/>
    <w:sectPr w:rsidR="001944E7" w:rsidSect="00162760">
      <w:footerReference w:type="default" r:id="rId7"/>
      <w:pgSz w:w="16840" w:h="11907" w:orient="landscape"/>
      <w:pgMar w:top="567" w:right="567" w:bottom="567" w:left="567" w:header="1440" w:footer="1440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59" w:rsidRDefault="00776359">
      <w:pPr>
        <w:spacing w:after="0" w:line="240" w:lineRule="auto"/>
      </w:pPr>
      <w:r>
        <w:separator/>
      </w:r>
    </w:p>
  </w:endnote>
  <w:endnote w:type="continuationSeparator" w:id="0">
    <w:p w:rsidR="00776359" w:rsidRDefault="0077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2F" w:rsidRDefault="007A0797" w:rsidP="00BD47DE">
    <w:pPr>
      <w:pStyle w:val="Noga"/>
      <w:framePr w:wrap="auto" w:vAnchor="text" w:hAnchor="page" w:x="14428" w:y="630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F3F5C">
      <w:rPr>
        <w:rStyle w:val="tevilkastrani"/>
        <w:noProof/>
      </w:rPr>
      <w:t>9</w:t>
    </w:r>
    <w:r>
      <w:rPr>
        <w:rStyle w:val="tevilkastrani"/>
      </w:rPr>
      <w:fldChar w:fldCharType="end"/>
    </w:r>
  </w:p>
  <w:p w:rsidR="00E6122F" w:rsidRDefault="005845B4" w:rsidP="0016276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59" w:rsidRDefault="00776359">
      <w:pPr>
        <w:spacing w:after="0" w:line="240" w:lineRule="auto"/>
      </w:pPr>
      <w:r>
        <w:separator/>
      </w:r>
    </w:p>
  </w:footnote>
  <w:footnote w:type="continuationSeparator" w:id="0">
    <w:p w:rsidR="00776359" w:rsidRDefault="0077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D5BA8"/>
    <w:multiLevelType w:val="hybridMultilevel"/>
    <w:tmpl w:val="69FA1B14"/>
    <w:lvl w:ilvl="0" w:tplc="3A02B11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6584"/>
    <w:multiLevelType w:val="hybridMultilevel"/>
    <w:tmpl w:val="0C465992"/>
    <w:lvl w:ilvl="0" w:tplc="161691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0129A"/>
    <w:multiLevelType w:val="hybridMultilevel"/>
    <w:tmpl w:val="638C7DDE"/>
    <w:lvl w:ilvl="0" w:tplc="DB1C579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7901"/>
    <w:multiLevelType w:val="hybridMultilevel"/>
    <w:tmpl w:val="8AB60F66"/>
    <w:lvl w:ilvl="0" w:tplc="EFBE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36F95"/>
    <w:multiLevelType w:val="hybridMultilevel"/>
    <w:tmpl w:val="90C45B16"/>
    <w:lvl w:ilvl="0" w:tplc="F8045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C2A9C"/>
    <w:multiLevelType w:val="hybridMultilevel"/>
    <w:tmpl w:val="E0CEFA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BA2DA4"/>
    <w:multiLevelType w:val="hybridMultilevel"/>
    <w:tmpl w:val="2D825D40"/>
    <w:lvl w:ilvl="0" w:tplc="A9B065C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7B68A6"/>
    <w:multiLevelType w:val="hybridMultilevel"/>
    <w:tmpl w:val="9DA4113C"/>
    <w:lvl w:ilvl="0" w:tplc="09AEB8D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97"/>
    <w:rsid w:val="001522DA"/>
    <w:rsid w:val="001944E7"/>
    <w:rsid w:val="001E438C"/>
    <w:rsid w:val="002012DF"/>
    <w:rsid w:val="00213DAA"/>
    <w:rsid w:val="00381DC3"/>
    <w:rsid w:val="00414D06"/>
    <w:rsid w:val="00441861"/>
    <w:rsid w:val="004D2C52"/>
    <w:rsid w:val="004F7D69"/>
    <w:rsid w:val="005376D1"/>
    <w:rsid w:val="005845B4"/>
    <w:rsid w:val="005F3F5C"/>
    <w:rsid w:val="00602963"/>
    <w:rsid w:val="00776359"/>
    <w:rsid w:val="00787CEF"/>
    <w:rsid w:val="007A0797"/>
    <w:rsid w:val="007C1FC0"/>
    <w:rsid w:val="00966E3D"/>
    <w:rsid w:val="00A6241D"/>
    <w:rsid w:val="00D63C20"/>
    <w:rsid w:val="00D84CE2"/>
    <w:rsid w:val="00F93A18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F893"/>
  <w15:chartTrackingRefBased/>
  <w15:docId w15:val="{253DA433-E9A4-4A9F-AC98-32AAA319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A079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7A0797"/>
    <w:rPr>
      <w:rFonts w:ascii="Arial" w:eastAsia="Times New Roman" w:hAnsi="Arial" w:cs="Arial"/>
      <w:sz w:val="24"/>
      <w:szCs w:val="24"/>
      <w:lang w:eastAsia="sl-SI"/>
    </w:rPr>
  </w:style>
  <w:style w:type="character" w:styleId="tevilkastrani">
    <w:name w:val="page number"/>
    <w:basedOn w:val="Privzetapisavaodstavka"/>
    <w:rsid w:val="007A0797"/>
  </w:style>
  <w:style w:type="table" w:styleId="Tabelamrea">
    <w:name w:val="Table Grid"/>
    <w:basedOn w:val="Navadnatabela"/>
    <w:uiPriority w:val="39"/>
    <w:rsid w:val="0078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D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Barbara.Bolaric@sentvid.org</dc:creator>
  <cp:keywords/>
  <dc:description/>
  <cp:lastModifiedBy>Višnjei Živa</cp:lastModifiedBy>
  <cp:revision>3</cp:revision>
  <dcterms:created xsi:type="dcterms:W3CDTF">2024-08-21T15:56:00Z</dcterms:created>
  <dcterms:modified xsi:type="dcterms:W3CDTF">2024-08-21T16:11:00Z</dcterms:modified>
</cp:coreProperties>
</file>